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D74D" w14:textId="7B5201AB" w:rsidR="00525219" w:rsidRPr="00930E4B" w:rsidRDefault="001E5EA8" w:rsidP="00930E4B">
      <w:pPr>
        <w:jc w:val="center"/>
        <w:rPr>
          <w:sz w:val="28"/>
          <w:szCs w:val="28"/>
        </w:rPr>
      </w:pPr>
      <w:r w:rsidRPr="00930E4B">
        <w:rPr>
          <w:sz w:val="28"/>
          <w:szCs w:val="28"/>
        </w:rPr>
        <w:t>California Annual Declaration of Compliance</w:t>
      </w:r>
    </w:p>
    <w:p w14:paraId="571DC268" w14:textId="2BB7EF64" w:rsidR="001E5EA8" w:rsidRDefault="001E5EA8" w:rsidP="00930E4B">
      <w:pPr>
        <w:spacing w:before="120" w:after="120" w:line="240" w:lineRule="auto"/>
      </w:pPr>
    </w:p>
    <w:p w14:paraId="3B970EB5" w14:textId="41A0186C" w:rsidR="00791E4D" w:rsidRPr="00930E4B" w:rsidRDefault="00791E4D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 xml:space="preserve">Bioventus is committed to conducting its business in accordance with the highest ethical standards. As part of this commitment and based on a good faith understanding of the statutory requirements, Bioventus declares that we have adopted a Comprehensive Compliance Program in accordance with the California Health and Safety Code </w:t>
      </w:r>
      <w:r w:rsidRPr="00930E4B">
        <w:rPr>
          <w:rFonts w:ascii="72" w:hAnsi="72" w:cs="72"/>
          <w:sz w:val="24"/>
          <w:szCs w:val="24"/>
        </w:rPr>
        <w:t>§§</w:t>
      </w:r>
      <w:r w:rsidRPr="00930E4B">
        <w:rPr>
          <w:sz w:val="24"/>
          <w:szCs w:val="24"/>
        </w:rPr>
        <w:t xml:space="preserve"> 119400-119402. </w:t>
      </w:r>
    </w:p>
    <w:p w14:paraId="19A73DDF" w14:textId="48BEAC7F" w:rsidR="006C2697" w:rsidRPr="00930E4B" w:rsidRDefault="006C2697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>The foundation of Bioventus’ Comprehensive Compliance program is the adoption of the AdvaMed Code on Interactions with Health Care Professional</w:t>
      </w:r>
      <w:r w:rsidR="00930E4B" w:rsidRPr="00930E4B">
        <w:rPr>
          <w:sz w:val="24"/>
          <w:szCs w:val="24"/>
        </w:rPr>
        <w:t>s</w:t>
      </w:r>
      <w:r w:rsidRPr="00930E4B">
        <w:rPr>
          <w:sz w:val="24"/>
          <w:szCs w:val="24"/>
        </w:rPr>
        <w:t xml:space="preserve"> which guides Bioventus’ business decisions and interactions. Bioventus requires our employees to comply with our Code of Conduct and </w:t>
      </w:r>
      <w:r w:rsidR="00D421DF">
        <w:rPr>
          <w:sz w:val="24"/>
          <w:szCs w:val="24"/>
        </w:rPr>
        <w:t xml:space="preserve">with the </w:t>
      </w:r>
      <w:proofErr w:type="spellStart"/>
      <w:r w:rsidR="00D421DF">
        <w:rPr>
          <w:sz w:val="24"/>
          <w:szCs w:val="24"/>
        </w:rPr>
        <w:t>AdvaMed</w:t>
      </w:r>
      <w:proofErr w:type="spellEnd"/>
      <w:r w:rsidRPr="00930E4B">
        <w:rPr>
          <w:sz w:val="24"/>
          <w:szCs w:val="24"/>
        </w:rPr>
        <w:t xml:space="preserve"> policies and procedures</w:t>
      </w:r>
      <w:r w:rsidR="00930E4B" w:rsidRPr="00930E4B">
        <w:rPr>
          <w:sz w:val="24"/>
          <w:szCs w:val="24"/>
        </w:rPr>
        <w:t>.</w:t>
      </w:r>
    </w:p>
    <w:p w14:paraId="2CC75659" w14:textId="3ACAD695" w:rsidR="006C2697" w:rsidRPr="00930E4B" w:rsidRDefault="006C2697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 xml:space="preserve">In accordance with California Health and Safety Code, Bioventus has established a specific annual dollar limit of $3,000 per healthcare professional for meals, promotional materials, </w:t>
      </w:r>
      <w:r w:rsidR="00D421DF">
        <w:rPr>
          <w:sz w:val="24"/>
          <w:szCs w:val="24"/>
        </w:rPr>
        <w:t xml:space="preserve">and </w:t>
      </w:r>
      <w:r w:rsidRPr="00930E4B">
        <w:rPr>
          <w:sz w:val="24"/>
          <w:szCs w:val="24"/>
        </w:rPr>
        <w:t>items or activities that Bioventus may give or otherwise appropriately provide to an individual healthcare professional located in the state of California, subject to permitted exclusions under the statute.</w:t>
      </w:r>
    </w:p>
    <w:p w14:paraId="74E2A010" w14:textId="0519A63B" w:rsidR="00930E4B" w:rsidRPr="00930E4B" w:rsidRDefault="00930E4B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 xml:space="preserve">The Bioventus Code of Conduct can be found online by clicking </w:t>
      </w:r>
      <w:hyperlink r:id="rId7" w:history="1">
        <w:r w:rsidR="003539F6" w:rsidRPr="003539F6">
          <w:rPr>
            <w:rStyle w:val="Hyperlink"/>
            <w:sz w:val="24"/>
            <w:szCs w:val="24"/>
          </w:rPr>
          <w:t>here</w:t>
        </w:r>
      </w:hyperlink>
      <w:r w:rsidR="003539F6" w:rsidRPr="003539F6">
        <w:rPr>
          <w:sz w:val="24"/>
          <w:szCs w:val="24"/>
        </w:rPr>
        <w:t>.</w:t>
      </w:r>
      <w:r w:rsidRPr="003539F6">
        <w:rPr>
          <w:sz w:val="24"/>
          <w:szCs w:val="24"/>
        </w:rPr>
        <w:t xml:space="preserve"> </w:t>
      </w:r>
      <w:r w:rsidRPr="00930E4B">
        <w:rPr>
          <w:sz w:val="24"/>
          <w:szCs w:val="24"/>
        </w:rPr>
        <w:t xml:space="preserve">If you would like a printed version of our Code of Conduct and/or this declaration, contact the Bioventus Compliance Department at </w:t>
      </w:r>
      <w:hyperlink r:id="rId8" w:history="1">
        <w:r w:rsidRPr="00930E4B">
          <w:rPr>
            <w:rStyle w:val="Hyperlink"/>
            <w:sz w:val="24"/>
            <w:szCs w:val="24"/>
          </w:rPr>
          <w:t>Compliance@Bioventus.com</w:t>
        </w:r>
      </w:hyperlink>
      <w:r w:rsidRPr="00930E4B">
        <w:rPr>
          <w:sz w:val="24"/>
          <w:szCs w:val="24"/>
        </w:rPr>
        <w:t>.</w:t>
      </w:r>
    </w:p>
    <w:p w14:paraId="618C1F75" w14:textId="30529744" w:rsidR="006C2697" w:rsidRPr="00464A94" w:rsidRDefault="00464A94" w:rsidP="00464A94">
      <w:pPr>
        <w:spacing w:before="360" w:after="240" w:line="240" w:lineRule="auto"/>
        <w:rPr>
          <w:sz w:val="20"/>
          <w:szCs w:val="20"/>
        </w:rPr>
      </w:pPr>
      <w:r w:rsidRPr="00464A94">
        <w:rPr>
          <w:sz w:val="20"/>
          <w:szCs w:val="20"/>
        </w:rPr>
        <w:t>Declared for 202</w:t>
      </w:r>
      <w:r w:rsidR="008F576D">
        <w:rPr>
          <w:sz w:val="20"/>
          <w:szCs w:val="20"/>
        </w:rPr>
        <w:t>3</w:t>
      </w:r>
      <w:r w:rsidRPr="00464A94">
        <w:rPr>
          <w:sz w:val="20"/>
          <w:szCs w:val="20"/>
        </w:rPr>
        <w:t>.</w:t>
      </w:r>
    </w:p>
    <w:p w14:paraId="22B890BF" w14:textId="77777777" w:rsidR="00791E4D" w:rsidRDefault="00791E4D" w:rsidP="00930E4B">
      <w:pPr>
        <w:spacing w:before="240" w:after="240" w:line="240" w:lineRule="auto"/>
      </w:pPr>
    </w:p>
    <w:p w14:paraId="518021A1" w14:textId="77777777" w:rsidR="00791E4D" w:rsidRDefault="00791E4D" w:rsidP="00930E4B">
      <w:pPr>
        <w:spacing w:before="240" w:after="240"/>
      </w:pPr>
    </w:p>
    <w:sectPr w:rsidR="0079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AC38" w14:textId="77777777" w:rsidR="009D216B" w:rsidRDefault="009D216B" w:rsidP="009D216B">
      <w:pPr>
        <w:spacing w:after="0" w:line="240" w:lineRule="auto"/>
      </w:pPr>
      <w:r>
        <w:separator/>
      </w:r>
    </w:p>
  </w:endnote>
  <w:endnote w:type="continuationSeparator" w:id="0">
    <w:p w14:paraId="3D53A6BE" w14:textId="77777777" w:rsidR="009D216B" w:rsidRDefault="009D216B" w:rsidP="009D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9407" w14:textId="77777777" w:rsidR="009D216B" w:rsidRDefault="009D216B" w:rsidP="009D216B">
      <w:pPr>
        <w:spacing w:after="0" w:line="240" w:lineRule="auto"/>
      </w:pPr>
      <w:r>
        <w:separator/>
      </w:r>
    </w:p>
  </w:footnote>
  <w:footnote w:type="continuationSeparator" w:id="0">
    <w:p w14:paraId="518DA536" w14:textId="77777777" w:rsidR="009D216B" w:rsidRDefault="009D216B" w:rsidP="009D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A8"/>
    <w:rsid w:val="001E5EA8"/>
    <w:rsid w:val="003539F6"/>
    <w:rsid w:val="003731DF"/>
    <w:rsid w:val="00464A94"/>
    <w:rsid w:val="004954A0"/>
    <w:rsid w:val="00525219"/>
    <w:rsid w:val="006C2697"/>
    <w:rsid w:val="00702E32"/>
    <w:rsid w:val="00791E4D"/>
    <w:rsid w:val="008F576D"/>
    <w:rsid w:val="00930E4B"/>
    <w:rsid w:val="009D216B"/>
    <w:rsid w:val="00BA79E6"/>
    <w:rsid w:val="00D421DF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764E0B"/>
  <w15:chartTrackingRefBased/>
  <w15:docId w15:val="{2C50BDF6-C131-483F-B9CF-0578AD6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16B"/>
  </w:style>
  <w:style w:type="paragraph" w:styleId="Footer">
    <w:name w:val="footer"/>
    <w:basedOn w:val="Normal"/>
    <w:link w:val="FooterChar"/>
    <w:uiPriority w:val="99"/>
    <w:unhideWhenUsed/>
    <w:rsid w:val="009D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16B"/>
  </w:style>
  <w:style w:type="character" w:styleId="CommentReference">
    <w:name w:val="annotation reference"/>
    <w:basedOn w:val="DefaultParagraphFont"/>
    <w:uiPriority w:val="99"/>
    <w:semiHidden/>
    <w:unhideWhenUsed/>
    <w:rsid w:val="00BA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9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Biovent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ventus.com/wp-content/uploads/2023/02/Code-of-Compliance-and-Ethics-2023-v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013E-85E0-48E9-98A2-B80315A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Stanley</dc:creator>
  <cp:keywords/>
  <dc:description/>
  <cp:lastModifiedBy>Scott Petrie</cp:lastModifiedBy>
  <cp:revision>2</cp:revision>
  <dcterms:created xsi:type="dcterms:W3CDTF">2023-02-16T19:08:00Z</dcterms:created>
  <dcterms:modified xsi:type="dcterms:W3CDTF">2023-02-16T19:08:00Z</dcterms:modified>
</cp:coreProperties>
</file>